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386" w:x="3565" w:y="1862"/>
        <w:widowControl w:val="off"/>
        <w:autoSpaceDE w:val="off"/>
        <w:autoSpaceDN w:val="off"/>
        <w:spacing w:before="0" w:after="0" w:line="421" w:lineRule="exact"/>
        <w:ind w:left="395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物业服务收费管理细则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9386" w:x="3565" w:y="1862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物业服务收费管理细则一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65" w:y="37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一、物业管理收费项目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565" w:y="464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(一)物业管理服务费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565" w:y="556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物业管理服务内容包括：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65" w:y="649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1、房屋共用部位、共用设施、设备及其运行的维护和管理。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65" w:y="6495"/>
        <w:widowControl w:val="off"/>
        <w:autoSpaceDE w:val="off"/>
        <w:autoSpaceDN w:val="off"/>
        <w:spacing w:before="5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2、环境卫生：公共环境卫生(公共场所、房屋共用部位的清洁卫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789" w:x="2701" w:y="804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生、垃圾的清运)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897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3、小区公共秩序维护：协助公安部门维护本区域内的公共秩序、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897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检查消防隐患和消防设施、搞好安全防范工作(小区安全监控、巡视、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897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门岗执勤)和管理宣传工作。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89" w:x="2701" w:y="1115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4、物业管理费用不包括房屋共用部位共用设施设备大中修、更新、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289" w:x="2701" w:y="1115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改造的费用，不包括户内小修费用及路灯和楼道灯费用。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212" w:x="3565" w:y="1270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二)代收公用事业费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3631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物业管理区域内，供水、供电、供气、通讯、有线电视等单位向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363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最终用户收取有关费用。物业公司接受委托按统一定价代收上述费用，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363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不向业主收取手续费等额外费用。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3565" w:y="158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(三)特约服务费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40" w:x="2701" w:y="16738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物业管理企业根据业主的委托提供物业服务合同约定以外的服务，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40" w:x="2701" w:y="16738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如：委托上门清洁服务、上门维修服务、上门保安服务、照看病人、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40" w:x="2701" w:y="1673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老人、儿童服务、委托装潢监理服务等，收费由双方约定。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65" w:y="1891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二、物业管理收费原则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56" w:x="2701" w:y="186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收费原则：公开、公平、公正。按照政府价格主管部门的规定实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行明码标价，在物业管理区域内的显著位置，将服务内容、服务标准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以及收费项目、收费标准等有关情况进行公示。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65" w:y="404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三、物业管理收费依据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65" w:y="4040"/>
        <w:widowControl w:val="off"/>
        <w:autoSpaceDE w:val="off"/>
        <w:autoSpaceDN w:val="off"/>
        <w:spacing w:before="50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1、合同的约定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589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《物业服务合同》是一种有偿的劳务合同，物业管理企业收取费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589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用的基础是其提供的管理服务所付出的成本和劳务。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70" w:x="3565" w:y="74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2、法律的规定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3" w:x="2701" w:y="8375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根据《中华人民共和国价格法》20xx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月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日发改委和建设部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3" w:x="2701" w:y="8375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制定的《物业服务收费管理办法》的规定，物业管理收费是一种服务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3" w:x="2701" w:y="8375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收费，根据所提供的管理及服务的性质、内容等不同情况实行政府指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53" w:x="2701" w:y="8375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导价。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565" w:y="1117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物业服务收费管理细则二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0656" w:x="3565" w:y="1210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为明确物业公司收银员工作职责，特制订本守则：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303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一、管理处收银员为创鸿集团财务部派出人员，必须严格遵守财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303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经纪律和财务收支审批制度，执行政府相关部门及集团公司核定的各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303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项收费标准。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65" w:y="1521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二、按时向业主(住户)收取管理费、停车费和水电费等，及时将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58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现金全额缴入银行，不得截留或挪用，同时将收费情况记录在帐册中。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6763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三、资金、帐册、发票、收据、车辆停放卡、装修出入证，收费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6763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记录等资料必须妥善保管，防止遗失或被盗。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40" w:x="2701" w:y="18320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四、严禁向外人透露涉及公司商业机密的公文、报表、财务帐目、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40" w:x="2701" w:y="1832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数据等。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9871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五、严格执行只收款不付款的制度，付款统一由集团公司出纳员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987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办理，私自付款，公司不予进帐。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556" w:x="2701" w:y="186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六、督促保安员及时上缴临时停车费，收取临时停车费时，应按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规定开具由物业公司提供的收据。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3565" w:y="34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收银员操作规程：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565" w:y="434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为规范收银员行为，特制订本操作规程：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719" w:x="3565" w:y="4342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一、物业管理费的收取：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9" w:x="2701" w:y="619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1、物业管理费须在每月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日前收清，对未按时缴交物业管理费的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9" w:x="2701" w:y="6192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业主应发出催收单，并限期缴交。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7748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2、收银员在办理收取物业管理费时首先应核对该户物业管理费应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774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缴金额所属月份，然后开具公司的收款收据给缴款人，收款收据一式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774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叁联(一联存底、一联交缴款人、一联报集团公司财务)。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807" w:x="3565" w:y="992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3、收款后须及时、认真、细致记入《管理费收缴情况登记表》。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085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4、新增或减少的住户物业管理费在《管理费收缴情况登记表》上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085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及时记载，并在《物业变动表》上反映。月终报物业公司会计。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421" w:x="3565" w:y="1240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8" w:x="3565" w:y="1333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1、固定停车费的收取：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4258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①收款员在办理收取固定停车费时首先应核对该车辆应缴金额是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425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多少?所属月份。然后开具公司的收款收据向缴款人收取固定停车费。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425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收款收据一式叁联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(一联存底、一联交缴款人、一联报集团公司财务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3"/>
          <w:sz w:val="42"/>
        </w:rPr>
        <w:t>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6439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②收款后须及时、认真、细致记入《小车、摩托车、单车固定停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6439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放收费登记表》。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99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③新增固定车辆停放须填写《新办固定停车凭条》，报停的须填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99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写《车辆停止存放凭条》，在《小车、摩托车、单车固定停放收费登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99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记表》上及时记载，并在《物业变动表》上反映，月终报物业公司会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99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141" w:x="3565" w:y="18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④缴交一年固定停车费的，可优惠免收一个月月租。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3565" w:y="1862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2、临时停车费的收取：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371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收款员在核对下班保安员呈送的《临时停车费交收情况表》的基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371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础上，须开具公司收款收据，向缴款人收取临时停车费，收款收据一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371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式叁联(一联存底、一联交缴款人、一联报集团公司财务)，《临时停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371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车费交收情况表》留物业管理处保存。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844" w:x="3565" w:y="652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三、水、电费的收取：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66" w:x="2701" w:y="744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1、在核对抄表员呈送的逐户水、电表行码的基础上，须每月</w:t>
      </w:r>
      <w:r>
        <w:rPr>
          <w:rFonts w:ascii="Times New Roman"/>
          <w:color w:val="000000"/>
          <w:spacing w:val="-3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66" w:x="2701" w:y="744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前收清水、电费。对未按时缴交水、电费的应发出催收单，并限期缴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66" w:x="2701" w:y="744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交。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9628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2、收款员在办理收取水、电费时应开具公司的水、电费收据，向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962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缴款人收取水、电费，收取水、电费收款收据一式叁联(一联存底、一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962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联交缴款人、一联报集团公司财务)。向财务部缴款时须附水电表行码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962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登记表。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2433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3、收款后，须及时、认真、细致记入《水费、电费收缴情况登记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243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398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4、新增或减少的在《水费、电费收缴情况登记表》及时记载，并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398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在《物业变动表》反映，月终报物业公司会计。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565" w:y="1553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四、装修押金的收取和退回：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565" w:y="15539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1、装修押金的收取：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391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①业主须对铺面、住宅装修时，经申请批准按规定每户缴交壹仟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739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元的装修押金后方可进行装修。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94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②收款员在办理收业主取装修押金时，应开具公司的收款收据向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94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业主收取装修押金，收款收据一式叁联(一联存底、一联交缴款人，一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74" w:x="2701" w:y="186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联报集团公司财务)。收取押金的同时，应告知业主妥善保管好收据，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装修竣工时凭此收据办理退回押金。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65" w:y="341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③收款后，须及时、认真、细致记入《收取装修押金一览表》。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563" w:x="3565" w:y="3413"/>
        <w:widowControl w:val="off"/>
        <w:autoSpaceDE w:val="off"/>
        <w:autoSpaceDN w:val="off"/>
        <w:spacing w:before="508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2、装修押金的退回：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①缴款人要求退款时，其装修结果须经物业管理处负责人上门进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行验收，并观察下层及左右邻相隔墙是否有渗漏迹象，视其实际情况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作出是否退款决定。收款人根据物业管理处负责人的意见，可以退款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的，在交清其他应收费用后，凭缴款人提供的原公司开具的收据，填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制退款凭证经集团公司财务副总经理审批后才可付款(原收据联做为附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件，贴在退款凭证后面)。②退款后须及时在《收取装修押金一览表》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74" w:x="2701" w:y="5267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上注销。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995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③业主如丢失原押金收据的，须与物业公司会计先核对，如公司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995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有收此款，业主须书面声明原收据遗失作废。再作退款处理。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7494" w:x="3565" w:y="1150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五、装修工临时停车</w:t>
      </w:r>
      <w:r>
        <w:rPr>
          <w:rFonts w:ascii="Times New Roman"/>
          <w:color w:val="000000"/>
          <w:spacing w:val="-1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卡的办理：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01" w:x="2701" w:y="12433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1、凡配置有刷卡装置的道闸小区，装修工寄车一律办理优惠</w:t>
      </w:r>
      <w:r>
        <w:rPr>
          <w:rFonts w:ascii="Times New Roman"/>
          <w:color w:val="000000"/>
          <w:spacing w:val="-3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IC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01" w:x="2701" w:y="1243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3" w:x="2701" w:y="1398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2、装修工寄车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IC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卡每块收取押金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元，(人为损坏需补卡者应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3" w:x="2701" w:y="1398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另收工本费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元)。收款员须开具公司收款收据给缴款人。收款收据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3" w:x="2701" w:y="13984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一式叁联(一联存底、一联交缴款人、一联报集团公司财务)。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963" w:x="3565" w:y="1616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3、有效期满需延期使用者应另交费充值。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19" w:x="3565" w:y="1709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4、办理退取押金凭完整无损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卡和收据退款。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19" w:x="3565" w:y="17092"/>
        <w:widowControl w:val="off"/>
        <w:autoSpaceDE w:val="off"/>
        <w:autoSpaceDN w:val="off"/>
        <w:spacing w:before="504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六、其他收入(活动中心、公寓租金、车辆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IC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1"/>
          <w:sz w:val="42"/>
        </w:rPr>
        <w:t>卡、其他)：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894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涉及其他收入，收款员须开具公司收款收据给缴款人，收款收据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1894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一式叁联(一联存底、一联交缴款人、一联报集团公司财务)。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328" w:x="3565" w:y="204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物业服务收费管理细则三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800" w:x="2701" w:y="186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1、物管公司收款使用的收款收据由集团财务管理中心统一登记发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放，并可派驻专人负责。物管公司根据收费项目专人领取、保管收款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收据，并按规定进行领用、退回登记。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4040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2、收据保管人员对收据须妥善保管，如出现丢失、被盗现象，要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404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及时向集团财务管理中心报告，由此造成集团损失，应追究当事人责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404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6221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3、收款人员收到现金，须在当日下午下班前上交集团财务管理中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6221"/>
        <w:widowControl w:val="off"/>
        <w:autoSpaceDE w:val="off"/>
        <w:autoSpaceDN w:val="off"/>
        <w:spacing w:before="20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心，或将现金缴存指定的公司银行账户，并须于次日上午上班时凭银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622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行缴款回单到集团财务管理中心结账。如遇特殊情况不能按时到财务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622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结账的，必须征得物业公司及集团财务总监的同意。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61" w:x="2701" w:y="902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4、收费的同时须向业主开具集团统一的收款收据，杜绝出现收款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61" w:x="2701" w:y="902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不开票以及违规擅用白条代票的行为发生。一经发现，均视为贪污处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61" w:x="2701" w:y="902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理，除须追回相关款项外，将对当事人处以违规收款金额</w:t>
      </w:r>
      <w:r>
        <w:rPr>
          <w:rFonts w:ascii="Times New Roman"/>
          <w:color w:val="000000"/>
          <w:spacing w:val="-3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50%的罚款，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61" w:x="2701" w:y="902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并予以开除处理。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1831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5、严禁出现收款不上交以及挪用公款行为的发生。一经发现，除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183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相关款项外，集团将对当事人处以未交款项或挪用公款金额</w:t>
      </w:r>
      <w:r>
        <w:rPr>
          <w:rFonts w:ascii="Times New Roman"/>
          <w:color w:val="000000"/>
          <w:spacing w:val="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30%的罚款，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1831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情节严重的予以开除，直至追究刑事责任。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4013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6、收取租金物管费须做到“一人开票，一人收款”，尽量减少现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401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金交易，物管人员须告知经营户缴纳租金、物管费时，可直接到银行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401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转账或者存现金到集团指定的银行账号上，经营户凭银行转账单或现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401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金缴款单到物管部开票，物管人员再凭转账单或现金缴款单到财务结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4013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账，以提高工作效率，及避免收***和收缴双方的现金在途风险。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4" w:x="2701" w:y="17445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7、收款人员在日常收款过程中要认真鉴别钱币的真伪，收到***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24" w:x="2701" w:y="17445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由经办人自行负责。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8996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8、物管公司收入实行收支两条线，严禁将收到的款项坐支有关开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899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支(退装修押金除外)，如遇特殊情况需要坐支的，须征得物业公司负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800" w:x="2701" w:y="18996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责人和集团财务总监的同意。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85" w:x="2701" w:y="186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9、物管公司每月须对住户(商家)的情况进行清理，及时掌握应收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5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物管费的情况，并在每月的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日之前将上月度相关情况上报集团财务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85" w:x="2701" w:y="1862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管理中心登记台账。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4040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10、物管公司按时登记租金、物管费、水电费和垃圾清运费等情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404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况时，列明应收、已收、欠收、减免、优惠金额，集团财务管理中心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404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每季度偕同物管部对账，牵涉到相关费用减免的，除集团另有规定外，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4040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一律由物管公司上报集团总裁审批同意后方可减免。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6848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11、收款人员出现调整，须到集团财务管理中心办理收据缴销手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684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续，收款人员不得擅自将收据移交给他人负责收费，如出现此类情况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56" w:x="2701" w:y="6848"/>
        <w:widowControl w:val="off"/>
        <w:autoSpaceDE w:val="off"/>
        <w:autoSpaceDN w:val="off"/>
        <w:spacing w:before="20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而造成的损失概由当事人自行负责。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9152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重点句子：1、2、收银员在办理收取物业管理费时首先应核对该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9152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户物业管理费应缴金额所属月份，然后开具公司的收款收据给缴款人，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9152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收款收据一式叁联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(一联存底、一联交缴款人、一联报集团公司财务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3"/>
          <w:sz w:val="42"/>
        </w:rPr>
        <w:t>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3" w:x="2701" w:y="11194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重点句子：2、②收款员在办理收业主取装修押金时，应开具公司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3" w:x="2701" w:y="11194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的收款收据向业主收取装修押金，收款收据一式叁联(一联存底、一联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793" w:x="2701" w:y="11194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交缴款人，一联报集团公司财务)。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3235"/>
        <w:widowControl w:val="off"/>
        <w:autoSpaceDE w:val="off"/>
        <w:autoSpaceDN w:val="off"/>
        <w:spacing w:before="0" w:after="0" w:line="421" w:lineRule="exact"/>
        <w:ind w:left="864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重点句子：3、收款员在核对下班保安员呈送的《临时停车费交收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3235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情况表》的基础上，须开具公司收款收据，向缴款人收取临时停车费，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3235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收款收据一式叁联</w:t>
      </w:r>
      <w:r>
        <w:rPr>
          <w:rFonts w:ascii="Times New Roman"/>
          <w:color w:val="000000"/>
          <w:spacing w:val="-18"/>
          <w:sz w:val="42"/>
        </w:rPr>
        <w:t xml:space="preserve"> </w:t>
      </w:r>
      <w:r>
        <w:rPr>
          <w:rFonts w:ascii="SimSun" w:hAnsi="SimSun" w:cs="SimSun"/>
          <w:color w:val="000000"/>
          <w:spacing w:val="2"/>
          <w:sz w:val="42"/>
        </w:rPr>
        <w:t>(一联存底、一联交缴款人、一联报集团公司财务</w:t>
      </w:r>
      <w:r>
        <w:rPr>
          <w:rFonts w:ascii="Times New Roman"/>
          <w:color w:val="000000"/>
          <w:spacing w:val="116"/>
          <w:sz w:val="42"/>
        </w:rPr>
        <w:t xml:space="preserve"> </w:t>
      </w:r>
      <w:r>
        <w:rPr>
          <w:rFonts w:ascii="SimSun" w:hAnsi="SimSun" w:cs="SimSun"/>
          <w:color w:val="000000"/>
          <w:spacing w:val="13"/>
          <w:sz w:val="42"/>
        </w:rPr>
        <w:t>)，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395" w:x="2701" w:y="13235"/>
        <w:widowControl w:val="off"/>
        <w:autoSpaceDE w:val="off"/>
        <w:autoSpaceDN w:val="off"/>
        <w:spacing w:before="119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《临时停车费交收情况表》留物业管理处保存。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7</Pages>
  <Words>199</Words>
  <Characters>3825</Characters>
  <Application>Aspose</Application>
  <DocSecurity>0</DocSecurity>
  <Lines>167</Lines>
  <Paragraphs>167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3857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2022-09-15T09:17:03+08:00</dcterms:created>
  <dcterms:modified xmlns:xsi="http://www.w3.org/2001/XMLSchema-instance" xmlns:dcterms="http://purl.org/dc/terms/" xsi:type="dcterms:W3CDTF">2022-09-15T09:17:03+08:00</dcterms:modified>
</coreProperties>
</file>